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4591"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791225" cy="83820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12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</w:r>
    </w:p>
    <w:p>
      <w:pPr>
        <w:pStyle w:val="BodyText"/>
        <w:spacing w:before="10"/>
        <w:rPr>
          <w:b w:val="0"/>
          <w:sz w:val="10"/>
        </w:rPr>
      </w:pPr>
    </w:p>
    <w:p>
      <w:pPr>
        <w:pStyle w:val="BodyText"/>
        <w:spacing w:before="73"/>
        <w:ind w:left="3849" w:right="1371" w:hanging="2761"/>
      </w:pPr>
      <w:r>
        <w:rPr/>
        <w:t>PROCURADORIA FEDERAL JUNTO AO INSTITUTO FEDERAL DE EDUCAÇÃO, CIÊNCIA E TECNOLOGIA</w:t>
      </w:r>
    </w:p>
    <w:p>
      <w:pPr>
        <w:tabs>
          <w:tab w:pos="7615" w:val="left" w:leader="none"/>
        </w:tabs>
        <w:spacing w:before="156"/>
        <w:ind w:left="962" w:right="1371" w:firstLine="0"/>
        <w:jc w:val="left"/>
        <w:rPr>
          <w:rFonts w:ascii="Times New Roman" w:hAnsi="Times New Roman"/>
          <w:sz w:val="20"/>
        </w:rPr>
      </w:pPr>
      <w:r>
        <w:rPr>
          <w:b/>
          <w:sz w:val="20"/>
        </w:rPr>
        <w:t>Processo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nº:</w:t>
      </w:r>
      <w:r>
        <w:rPr>
          <w:b/>
          <w:spacing w:val="1"/>
          <w:sz w:val="20"/>
        </w:rPr>
        <w:t> </w:t>
      </w:r>
      <w:r>
        <w:rPr>
          <w:rFonts w:ascii="Times New Roman" w:hAnsi="Times New Roman"/>
          <w:w w:val="99"/>
          <w:sz w:val="20"/>
          <w:u w:val="single"/>
        </w:rPr>
        <w:t> </w:t>
      </w:r>
      <w:r>
        <w:rPr>
          <w:rFonts w:ascii="Times New Roman" w:hAnsi="Times New Roman"/>
          <w:sz w:val="20"/>
          <w:u w:val="single"/>
        </w:rPr>
        <w:tab/>
      </w:r>
    </w:p>
    <w:p>
      <w:pPr>
        <w:pStyle w:val="BodyText"/>
        <w:spacing w:before="5"/>
        <w:rPr>
          <w:b w:val="0"/>
          <w:sz w:val="20"/>
        </w:rPr>
      </w:pPr>
    </w:p>
    <w:p>
      <w:pPr>
        <w:tabs>
          <w:tab w:pos="7615" w:val="left" w:leader="none"/>
        </w:tabs>
        <w:spacing w:line="312" w:lineRule="exact" w:before="0"/>
        <w:ind w:left="962" w:right="1371" w:firstLine="0"/>
        <w:jc w:val="left"/>
        <w:rPr>
          <w:b/>
          <w:sz w:val="20"/>
        </w:rPr>
      </w:pPr>
      <w:r>
        <w:rPr>
          <w:b/>
          <w:sz w:val="20"/>
        </w:rPr>
        <w:t>Interessado:</w:t>
      </w:r>
      <w:r>
        <w:rPr>
          <w:b/>
          <w:spacing w:val="1"/>
          <w:sz w:val="20"/>
        </w:rPr>
        <w:t> </w:t>
      </w:r>
      <w:r>
        <w:rPr>
          <w:b/>
          <w:w w:val="99"/>
          <w:sz w:val="20"/>
          <w:u w:val="single"/>
        </w:rPr>
        <w:t> </w:t>
      </w:r>
      <w:r>
        <w:rPr>
          <w:b/>
          <w:sz w:val="20"/>
          <w:u w:val="single"/>
        </w:rPr>
        <w:tab/>
      </w:r>
    </w:p>
    <w:p>
      <w:pPr>
        <w:spacing w:line="240" w:lineRule="auto" w:before="7"/>
        <w:rPr>
          <w:b/>
          <w:sz w:val="13"/>
        </w:rPr>
      </w:pPr>
    </w:p>
    <w:p>
      <w:pPr>
        <w:spacing w:line="312" w:lineRule="exact" w:before="0"/>
        <w:ind w:left="4145" w:right="4446" w:firstLine="0"/>
        <w:jc w:val="center"/>
        <w:rPr>
          <w:b/>
          <w:sz w:val="20"/>
        </w:rPr>
      </w:pPr>
      <w:r>
        <w:rPr>
          <w:b/>
          <w:sz w:val="20"/>
        </w:rPr>
        <w:t>PREGÃO ELETRÔNICO</w:t>
      </w:r>
    </w:p>
    <w:p>
      <w:pPr>
        <w:spacing w:line="240" w:lineRule="auto" w:before="16" w:after="0"/>
        <w:rPr>
          <w:b/>
          <w:sz w:val="16"/>
        </w:rPr>
      </w:pPr>
    </w:p>
    <w:tbl>
      <w:tblPr>
        <w:tblW w:w="0" w:type="auto"/>
        <w:jc w:val="left"/>
        <w:tblInd w:w="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92"/>
        <w:gridCol w:w="1183"/>
        <w:gridCol w:w="999"/>
        <w:gridCol w:w="1118"/>
      </w:tblGrid>
      <w:tr>
        <w:trPr>
          <w:trHeight w:val="569" w:hRule="exact"/>
        </w:trPr>
        <w:tc>
          <w:tcPr>
            <w:tcW w:w="7192" w:type="dxa"/>
          </w:tcPr>
          <w:p>
            <w:pPr>
              <w:pStyle w:val="TableParagraph"/>
              <w:spacing w:line="274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ATOS ADMINISTRATIVOS E DOCUMENTOS A SEREM VERIFICADOS</w:t>
            </w:r>
          </w:p>
        </w:tc>
        <w:tc>
          <w:tcPr>
            <w:tcW w:w="1183" w:type="dxa"/>
          </w:tcPr>
          <w:p>
            <w:pPr>
              <w:pStyle w:val="TableParagraph"/>
              <w:spacing w:line="274" w:lineRule="exact"/>
              <w:ind w:right="0"/>
              <w:rPr>
                <w:b/>
                <w:sz w:val="18"/>
              </w:rPr>
            </w:pPr>
            <w:r>
              <w:rPr>
                <w:b/>
                <w:sz w:val="18"/>
              </w:rPr>
              <w:t>SIM/NÃO</w:t>
            </w:r>
          </w:p>
        </w:tc>
        <w:tc>
          <w:tcPr>
            <w:tcW w:w="999" w:type="dxa"/>
          </w:tcPr>
          <w:p>
            <w:pPr>
              <w:pStyle w:val="TableParagraph"/>
              <w:spacing w:line="274" w:lineRule="exact"/>
              <w:ind w:right="0"/>
              <w:rPr>
                <w:b/>
                <w:sz w:val="18"/>
              </w:rPr>
            </w:pPr>
            <w:r>
              <w:rPr>
                <w:b/>
                <w:sz w:val="18"/>
              </w:rPr>
              <w:t>FOLHA</w:t>
            </w:r>
          </w:p>
        </w:tc>
        <w:tc>
          <w:tcPr>
            <w:tcW w:w="1118" w:type="dxa"/>
          </w:tcPr>
          <w:p>
            <w:pPr>
              <w:pStyle w:val="TableParagraph"/>
              <w:spacing w:line="274" w:lineRule="exact"/>
              <w:ind w:left="355" w:right="0"/>
              <w:rPr>
                <w:b/>
                <w:sz w:val="18"/>
              </w:rPr>
            </w:pPr>
            <w:r>
              <w:rPr>
                <w:b/>
                <w:sz w:val="18"/>
              </w:rPr>
              <w:t>OBS.</w:t>
            </w:r>
          </w:p>
        </w:tc>
      </w:tr>
      <w:tr>
        <w:trPr>
          <w:trHeight w:val="566" w:hRule="exact"/>
        </w:trPr>
        <w:tc>
          <w:tcPr>
            <w:tcW w:w="7192" w:type="dxa"/>
          </w:tcPr>
          <w:p>
            <w:pPr>
              <w:pStyle w:val="TableParagraph"/>
              <w:spacing w:line="274" w:lineRule="exact"/>
              <w:rPr>
                <w:sz w:val="18"/>
              </w:rPr>
            </w:pPr>
            <w:r>
              <w:rPr>
                <w:sz w:val="18"/>
              </w:rPr>
              <w:t>1. O bem/serviço é comum (art. 1º da Lei 8666/93)?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1644" w:hRule="exact"/>
        </w:trPr>
        <w:tc>
          <w:tcPr>
            <w:tcW w:w="7192" w:type="dxa"/>
          </w:tcPr>
          <w:p>
            <w:pPr>
              <w:pStyle w:val="TableParagraph"/>
              <w:spacing w:line="276" w:lineRule="exact"/>
              <w:ind w:right="0"/>
              <w:jc w:val="both"/>
              <w:rPr>
                <w:sz w:val="18"/>
              </w:rPr>
            </w:pPr>
            <w:r>
              <w:rPr>
                <w:sz w:val="18"/>
              </w:rPr>
              <w:t>2.  Abertura  de  processo  administrativo  devidamente  autuado,  protocolado    e</w:t>
            </w:r>
          </w:p>
          <w:p>
            <w:pPr>
              <w:pStyle w:val="TableParagraph"/>
              <w:spacing w:line="264" w:lineRule="auto" w:before="29"/>
              <w:ind w:right="104"/>
              <w:jc w:val="both"/>
              <w:rPr>
                <w:sz w:val="18"/>
              </w:rPr>
            </w:pPr>
            <w:r>
              <w:rPr>
                <w:sz w:val="18"/>
              </w:rPr>
              <w:t>numerado (art. 3º, III, da Lei nº 10.520/02, art. 30, </w:t>
            </w:r>
            <w:r>
              <w:rPr>
                <w:i/>
                <w:sz w:val="19"/>
              </w:rPr>
              <w:t>caput</w:t>
            </w:r>
            <w:r>
              <w:rPr>
                <w:sz w:val="18"/>
              </w:rPr>
              <w:t>, do Decreto nº 5.450/05,  art. 38, </w:t>
            </w:r>
            <w:r>
              <w:rPr>
                <w:i/>
                <w:sz w:val="19"/>
              </w:rPr>
              <w:t>caput</w:t>
            </w:r>
            <w:r>
              <w:rPr>
                <w:sz w:val="18"/>
              </w:rPr>
              <w:t>, da Lei nº 8.666/93, e item 5.1 da Portaria Normativa SLTI/MPOG nº 5, de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19.12.02)?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924" w:hRule="exact"/>
        </w:trPr>
        <w:tc>
          <w:tcPr>
            <w:tcW w:w="7192" w:type="dxa"/>
          </w:tcPr>
          <w:p>
            <w:pPr>
              <w:pStyle w:val="TableParagraph"/>
              <w:spacing w:line="274" w:lineRule="exact"/>
              <w:rPr>
                <w:sz w:val="18"/>
              </w:rPr>
            </w:pPr>
            <w:r>
              <w:rPr>
                <w:sz w:val="18"/>
              </w:rPr>
              <w:t>3.  Consta  a  solicitação/requisição  do  objeto,  elaborada  pelo  agente  ou  setor</w:t>
            </w:r>
          </w:p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sz w:val="18"/>
              </w:rPr>
              <w:t>competente? Acórdão 254/2004-Segunda Câmara-TCU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926" w:hRule="exact"/>
        </w:trPr>
        <w:tc>
          <w:tcPr>
            <w:tcW w:w="7192" w:type="dxa"/>
          </w:tcPr>
          <w:p>
            <w:pPr>
              <w:pStyle w:val="TableParagraph"/>
              <w:spacing w:line="276" w:lineRule="exact"/>
              <w:rPr>
                <w:sz w:val="18"/>
              </w:rPr>
            </w:pPr>
            <w:r>
              <w:rPr>
                <w:sz w:val="18"/>
              </w:rPr>
              <w:t>4. A definição do objeto é precisa, suficiente e clara (art. 3º, II da Lei 10520/02,  art.</w:t>
            </w:r>
          </w:p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sz w:val="18"/>
              </w:rPr>
              <w:t>8º, I e III, “a” do Dec. 3555/00)?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1525" w:hRule="exact"/>
        </w:trPr>
        <w:tc>
          <w:tcPr>
            <w:tcW w:w="7192" w:type="dxa"/>
          </w:tcPr>
          <w:p>
            <w:pPr>
              <w:pStyle w:val="TableParagraph"/>
              <w:spacing w:before="9"/>
              <w:ind w:left="0" w:right="0"/>
              <w:rPr>
                <w:b/>
                <w:sz w:val="11"/>
              </w:rPr>
            </w:pPr>
          </w:p>
          <w:p>
            <w:pPr>
              <w:pStyle w:val="TableParagraph"/>
              <w:spacing w:line="266" w:lineRule="auto"/>
              <w:ind w:right="103"/>
              <w:jc w:val="both"/>
              <w:rPr>
                <w:sz w:val="18"/>
              </w:rPr>
            </w:pPr>
            <w:r>
              <w:rPr>
                <w:sz w:val="18"/>
              </w:rPr>
              <w:t>5. A autoridade competente justificou a necessidade da contratação (art. 3º, I da Lei nº 10.520/02, arts. 9º, III, § 1º e 30, I, do Decreto 5.450/05 e art. 2º</w:t>
            </w:r>
            <w:r>
              <w:rPr>
                <w:i/>
                <w:sz w:val="19"/>
              </w:rPr>
              <w:t>, caput</w:t>
            </w:r>
            <w:r>
              <w:rPr>
                <w:sz w:val="18"/>
              </w:rPr>
              <w:t>, e parágrafo único, VII, da Lei nº 9.784/99)?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926" w:hRule="exact"/>
        </w:trPr>
        <w:tc>
          <w:tcPr>
            <w:tcW w:w="7192" w:type="dxa"/>
          </w:tcPr>
          <w:p>
            <w:pPr>
              <w:pStyle w:val="TableParagraph"/>
              <w:spacing w:line="274" w:lineRule="exact"/>
              <w:rPr>
                <w:sz w:val="18"/>
              </w:rPr>
            </w:pPr>
            <w:r>
              <w:rPr>
                <w:sz w:val="18"/>
              </w:rPr>
              <w:t>6. Consta a autorização da autoridade competente para a abertura da licitação  (art.</w:t>
            </w:r>
          </w:p>
          <w:p>
            <w:pPr>
              <w:pStyle w:val="TableParagraph"/>
              <w:spacing w:before="31"/>
              <w:rPr>
                <w:sz w:val="18"/>
              </w:rPr>
            </w:pPr>
            <w:r>
              <w:rPr>
                <w:sz w:val="18"/>
              </w:rPr>
              <w:t>38, </w:t>
            </w:r>
            <w:r>
              <w:rPr>
                <w:i/>
                <w:sz w:val="19"/>
              </w:rPr>
              <w:t>caput</w:t>
            </w:r>
            <w:r>
              <w:rPr>
                <w:sz w:val="18"/>
              </w:rPr>
              <w:t>, da Lei nº 8.666/93 e arts. 8º, III e 30, V, do Decreto 5.450/05)?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926" w:hRule="exact"/>
        </w:trPr>
        <w:tc>
          <w:tcPr>
            <w:tcW w:w="7192" w:type="dxa"/>
          </w:tcPr>
          <w:p>
            <w:pPr>
              <w:pStyle w:val="TableParagraph"/>
              <w:spacing w:line="274" w:lineRule="exact"/>
              <w:rPr>
                <w:sz w:val="18"/>
              </w:rPr>
            </w:pPr>
            <w:r>
              <w:rPr>
                <w:sz w:val="18"/>
              </w:rPr>
              <w:t>7. Há termo de referência motivado e aprovado pela autoridade competente (art.</w:t>
            </w:r>
          </w:p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sz w:val="18"/>
              </w:rPr>
              <w:t>9º, I e II, §§ 1º e 2º do Decreto nº 5.450/05)?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1776" w:hRule="exact"/>
        </w:trPr>
        <w:tc>
          <w:tcPr>
            <w:tcW w:w="7192" w:type="dxa"/>
          </w:tcPr>
          <w:p>
            <w:pPr>
              <w:pStyle w:val="TableParagraph"/>
              <w:spacing w:line="274" w:lineRule="exact"/>
              <w:rPr>
                <w:sz w:val="18"/>
              </w:rPr>
            </w:pPr>
            <w:r>
              <w:rPr>
                <w:sz w:val="18"/>
              </w:rPr>
              <w:t>8. Foi realizada a pesquisa de preços praticados pelo mercado do ramo do   objeto</w:t>
            </w:r>
          </w:p>
          <w:p>
            <w:pPr>
              <w:pStyle w:val="TableParagraph"/>
              <w:spacing w:line="273" w:lineRule="auto" w:before="44"/>
              <w:rPr>
                <w:sz w:val="18"/>
              </w:rPr>
            </w:pPr>
            <w:r>
              <w:rPr>
                <w:sz w:val="18"/>
              </w:rPr>
              <w:t>da licitação (art. 3º, III, da Lei nº 10.520/02, art. 9º, § 2º, do Decreto nº 5.450/05 e arts. 15, III e 43, IV da Lei nº 8.666/93)?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1400" w:bottom="280" w:left="740" w:right="440"/>
        </w:sectPr>
      </w:pPr>
    </w:p>
    <w:tbl>
      <w:tblPr>
        <w:tblW w:w="0" w:type="auto"/>
        <w:jc w:val="left"/>
        <w:tblInd w:w="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92"/>
        <w:gridCol w:w="1183"/>
        <w:gridCol w:w="999"/>
        <w:gridCol w:w="1118"/>
      </w:tblGrid>
      <w:tr>
        <w:trPr>
          <w:trHeight w:val="2360" w:hRule="exact"/>
        </w:trPr>
        <w:tc>
          <w:tcPr>
            <w:tcW w:w="7192" w:type="dxa"/>
          </w:tcPr>
          <w:p>
            <w:pPr>
              <w:pStyle w:val="TableParagraph"/>
              <w:spacing w:line="274" w:lineRule="exact"/>
              <w:ind w:right="0"/>
              <w:jc w:val="both"/>
              <w:rPr>
                <w:sz w:val="18"/>
              </w:rPr>
            </w:pPr>
            <w:r>
              <w:rPr>
                <w:sz w:val="18"/>
              </w:rPr>
              <w:t>8.1 Tratando-se de serviço, existe orçamento detalhado em planilhas que expresse a</w:t>
            </w:r>
          </w:p>
          <w:p>
            <w:pPr>
              <w:pStyle w:val="TableParagraph"/>
              <w:spacing w:line="273" w:lineRule="auto" w:before="44"/>
              <w:ind w:right="104"/>
              <w:jc w:val="both"/>
              <w:rPr>
                <w:sz w:val="18"/>
              </w:rPr>
            </w:pPr>
            <w:r>
              <w:rPr>
                <w:sz w:val="18"/>
              </w:rPr>
              <w:t>composição de todos os seus custos unitários baseado em pesquisa de preços praticados no mercado do ramo do objeto da contratação (art. 7º, § 2º, II, art. 15, XII, “a”, da IN/SLTI 02/2008), assim como a respectiva pesquisa de preços realizada (art. 43, IV da Lei nº 8.666/93, art. 15, XII, “b”, IN/SLTI 02/2008)? Acórdão 1512/2006-Plenário-TCU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1285" w:hRule="exact"/>
        </w:trPr>
        <w:tc>
          <w:tcPr>
            <w:tcW w:w="7192" w:type="dxa"/>
          </w:tcPr>
          <w:p>
            <w:pPr>
              <w:pStyle w:val="TableParagraph"/>
              <w:spacing w:line="272" w:lineRule="exact"/>
              <w:rPr>
                <w:sz w:val="18"/>
              </w:rPr>
            </w:pPr>
            <w:r>
              <w:rPr>
                <w:sz w:val="18"/>
              </w:rPr>
              <w:t>9. Há previsão de recursos orçamentários, com indicação das respectivas rubricas</w:t>
            </w:r>
          </w:p>
          <w:p>
            <w:pPr>
              <w:pStyle w:val="TableParagraph"/>
              <w:spacing w:line="273" w:lineRule="auto" w:before="44"/>
              <w:rPr>
                <w:sz w:val="18"/>
              </w:rPr>
            </w:pPr>
            <w:r>
              <w:rPr>
                <w:sz w:val="18"/>
              </w:rPr>
              <w:t>(art. 30, IV, do Decreto nº 5.450/05 e arts. 7º, § 2º, III, 14 e 38, caput, da Lei nº 8.666/93)?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1284" w:hRule="exact"/>
        </w:trPr>
        <w:tc>
          <w:tcPr>
            <w:tcW w:w="7192" w:type="dxa"/>
          </w:tcPr>
          <w:p>
            <w:pPr>
              <w:pStyle w:val="TableParagraph"/>
              <w:spacing w:line="272" w:lineRule="exact"/>
              <w:rPr>
                <w:sz w:val="18"/>
              </w:rPr>
            </w:pPr>
            <w:r>
              <w:rPr>
                <w:sz w:val="18"/>
              </w:rPr>
              <w:t>9.1 Se for  o caso, constam  a estimativa do  impacto orçamentário financeiro     da</w:t>
            </w:r>
          </w:p>
          <w:p>
            <w:pPr>
              <w:pStyle w:val="TableParagraph"/>
              <w:spacing w:line="261" w:lineRule="auto" w:before="44"/>
              <w:rPr>
                <w:sz w:val="18"/>
              </w:rPr>
            </w:pPr>
            <w:r>
              <w:rPr>
                <w:sz w:val="18"/>
              </w:rPr>
              <w:t>despesa prevista no art. 16, inc. I da LC 101/2000 e a declaração prevista no art. 16, II do mesmo diploma na hipótese da despesa incidir no </w:t>
            </w:r>
            <w:r>
              <w:rPr>
                <w:i/>
                <w:sz w:val="19"/>
              </w:rPr>
              <w:t>caput </w:t>
            </w:r>
            <w:r>
              <w:rPr>
                <w:sz w:val="18"/>
              </w:rPr>
              <w:t>do art. 16?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1284" w:hRule="exact"/>
        </w:trPr>
        <w:tc>
          <w:tcPr>
            <w:tcW w:w="7192" w:type="dxa"/>
          </w:tcPr>
          <w:p>
            <w:pPr>
              <w:pStyle w:val="TableParagraph"/>
              <w:spacing w:line="272" w:lineRule="exact"/>
              <w:ind w:right="0"/>
              <w:rPr>
                <w:sz w:val="18"/>
              </w:rPr>
            </w:pPr>
            <w:r>
              <w:rPr>
                <w:sz w:val="18"/>
              </w:rPr>
              <w:t>10. Em face do valor estimado do objeto, a participação na licitação é exclusiva para</w:t>
            </w:r>
          </w:p>
          <w:p>
            <w:pPr>
              <w:pStyle w:val="TableParagraph"/>
              <w:spacing w:line="273" w:lineRule="auto" w:before="44"/>
              <w:ind w:right="91"/>
              <w:rPr>
                <w:sz w:val="18"/>
              </w:rPr>
            </w:pPr>
            <w:r>
              <w:rPr>
                <w:sz w:val="18"/>
              </w:rPr>
              <w:t>microempresas, empresas de pequeno porte e sociedades cooperativas (art. 48, I, da LC nº 123/06, art. 6º do Decreto nº 6.204/07 e art. 34 da Lei nº 11.488/07)?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927" w:hRule="exact"/>
        </w:trPr>
        <w:tc>
          <w:tcPr>
            <w:tcW w:w="7192" w:type="dxa"/>
          </w:tcPr>
          <w:p>
            <w:pPr>
              <w:pStyle w:val="TableParagraph"/>
              <w:spacing w:line="272" w:lineRule="exact"/>
              <w:rPr>
                <w:sz w:val="18"/>
              </w:rPr>
            </w:pPr>
            <w:r>
              <w:rPr>
                <w:sz w:val="18"/>
              </w:rPr>
              <w:t>10.1  Incide  uma  das  exceções  previstas  no  art.  9º  do  Decreto  nº   6.204/07,</w:t>
            </w:r>
          </w:p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sz w:val="18"/>
              </w:rPr>
              <w:t>devidamente justificada, a afastar a exclusividade das ME e EPP?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926" w:hRule="exact"/>
        </w:trPr>
        <w:tc>
          <w:tcPr>
            <w:tcW w:w="7192" w:type="dxa"/>
          </w:tcPr>
          <w:p>
            <w:pPr>
              <w:pStyle w:val="TableParagraph"/>
              <w:spacing w:line="272" w:lineRule="exact"/>
              <w:rPr>
                <w:sz w:val="18"/>
              </w:rPr>
            </w:pPr>
            <w:r>
              <w:rPr>
                <w:sz w:val="18"/>
              </w:rPr>
              <w:t>11. Consta a designação do pregoeiro e equipe de apoio (art. 3º, IV, §1º da Lei nº</w:t>
            </w:r>
          </w:p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sz w:val="18"/>
              </w:rPr>
              <w:t>10.520/02, arts. 9º, VI, 10, 11, 12 e 30, VI, do Decreto nº 5.450/05)?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3157" w:hRule="exact"/>
        </w:trPr>
        <w:tc>
          <w:tcPr>
            <w:tcW w:w="7192" w:type="dxa"/>
          </w:tcPr>
          <w:p>
            <w:pPr>
              <w:pStyle w:val="TableParagraph"/>
              <w:spacing w:line="272" w:lineRule="exact"/>
              <w:rPr>
                <w:sz w:val="18"/>
              </w:rPr>
            </w:pPr>
            <w:r>
              <w:rPr>
                <w:sz w:val="18"/>
              </w:rPr>
              <w:t>12. Há minuta de edital e anexos (art. 4º, III, da Lei nº 10.520/02, arts. 9º, IV e 30,</w:t>
            </w:r>
          </w:p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sz w:val="18"/>
              </w:rPr>
              <w:t>VII, do Decreto nº 5.450/05 e art. 40 da Lei nº 8.666/93)?</w:t>
            </w:r>
          </w:p>
          <w:p>
            <w:pPr>
              <w:pStyle w:val="TableParagraph"/>
              <w:spacing w:before="17"/>
              <w:ind w:left="0" w:right="0"/>
              <w:rPr>
                <w:b/>
                <w:sz w:val="13"/>
              </w:rPr>
            </w:pPr>
          </w:p>
          <w:p>
            <w:pPr>
              <w:pStyle w:val="TableParagraph"/>
              <w:tabs>
                <w:tab w:pos="703" w:val="left" w:leader="none"/>
              </w:tabs>
              <w:rPr>
                <w:sz w:val="18"/>
              </w:rPr>
            </w:pPr>
            <w:r>
              <w:rPr>
                <w:sz w:val="18"/>
              </w:rPr>
              <w:t>12.1</w:t>
              <w:tab/>
              <w:t>Constituem anexos do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edital:</w:t>
            </w:r>
          </w:p>
          <w:p>
            <w:pPr>
              <w:pStyle w:val="TableParagraph"/>
              <w:spacing w:before="2"/>
              <w:ind w:left="0" w:right="0"/>
              <w:rPr>
                <w:b/>
                <w:sz w:val="14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11" w:val="left" w:leader="none"/>
                <w:tab w:pos="512" w:val="left" w:leader="none"/>
              </w:tabs>
              <w:spacing w:line="240" w:lineRule="auto" w:before="0" w:after="0"/>
              <w:ind w:left="511" w:right="0" w:hanging="408"/>
              <w:jc w:val="left"/>
              <w:rPr>
                <w:sz w:val="18"/>
              </w:rPr>
            </w:pPr>
            <w:r>
              <w:rPr>
                <w:sz w:val="18"/>
              </w:rPr>
              <w:t>termo de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referência;</w:t>
            </w:r>
          </w:p>
          <w:p>
            <w:pPr>
              <w:pStyle w:val="TableParagraph"/>
              <w:ind w:left="0" w:right="0"/>
              <w:rPr>
                <w:b/>
                <w:sz w:val="14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26" w:val="left" w:leader="none"/>
                <w:tab w:pos="527" w:val="left" w:leader="none"/>
              </w:tabs>
              <w:spacing w:line="240" w:lineRule="auto" w:before="0" w:after="0"/>
              <w:ind w:left="526" w:right="0" w:hanging="423"/>
              <w:jc w:val="left"/>
              <w:rPr>
                <w:sz w:val="18"/>
              </w:rPr>
            </w:pPr>
            <w:r>
              <w:rPr>
                <w:sz w:val="18"/>
              </w:rPr>
              <w:t>minuta do termo de contrato, se for o caso;</w:t>
            </w:r>
            <w:r>
              <w:rPr>
                <w:spacing w:val="-38"/>
                <w:sz w:val="18"/>
              </w:rPr>
              <w:t> </w:t>
            </w:r>
            <w:r>
              <w:rPr>
                <w:sz w:val="18"/>
              </w:rPr>
              <w:t>e</w:t>
            </w:r>
          </w:p>
          <w:p>
            <w:pPr>
              <w:pStyle w:val="TableParagraph"/>
              <w:spacing w:before="2"/>
              <w:ind w:left="0" w:right="0"/>
              <w:rPr>
                <w:b/>
                <w:sz w:val="14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02" w:val="left" w:leader="none"/>
                <w:tab w:pos="503" w:val="left" w:leader="none"/>
              </w:tabs>
              <w:spacing w:line="240" w:lineRule="auto" w:before="0" w:after="0"/>
              <w:ind w:left="502" w:right="0" w:hanging="399"/>
              <w:jc w:val="left"/>
              <w:rPr>
                <w:sz w:val="18"/>
              </w:rPr>
            </w:pPr>
            <w:r>
              <w:rPr>
                <w:sz w:val="18"/>
              </w:rPr>
              <w:t>planilha de quantitativos e custos unitários, se for o</w:t>
            </w:r>
            <w:r>
              <w:rPr>
                <w:spacing w:val="-21"/>
                <w:sz w:val="18"/>
              </w:rPr>
              <w:t> </w:t>
            </w:r>
            <w:r>
              <w:rPr>
                <w:sz w:val="18"/>
              </w:rPr>
              <w:t>caso.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926" w:hRule="exact"/>
        </w:trPr>
        <w:tc>
          <w:tcPr>
            <w:tcW w:w="7192" w:type="dxa"/>
          </w:tcPr>
          <w:p>
            <w:pPr>
              <w:pStyle w:val="TableParagraph"/>
              <w:tabs>
                <w:tab w:pos="829" w:val="left" w:leader="none"/>
              </w:tabs>
              <w:spacing w:line="274" w:lineRule="exact"/>
              <w:rPr>
                <w:sz w:val="18"/>
              </w:rPr>
            </w:pPr>
            <w:r>
              <w:rPr>
                <w:sz w:val="18"/>
              </w:rPr>
              <w:t>12.2</w:t>
              <w:tab/>
              <w:t>Em caso de inaplicabilidade da minuta do contrato, há expressa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justificativa</w:t>
            </w:r>
          </w:p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sz w:val="18"/>
              </w:rPr>
              <w:t>ou previsão editalícia da inaplicabilidade (art. 62 da Lei 8666/93)?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926" w:hRule="exact"/>
        </w:trPr>
        <w:tc>
          <w:tcPr>
            <w:tcW w:w="7192" w:type="dxa"/>
          </w:tcPr>
          <w:p>
            <w:pPr>
              <w:pStyle w:val="TableParagraph"/>
              <w:spacing w:line="272" w:lineRule="exact"/>
              <w:rPr>
                <w:sz w:val="18"/>
              </w:rPr>
            </w:pPr>
            <w:r>
              <w:rPr>
                <w:sz w:val="18"/>
              </w:rPr>
              <w:t>13. Caso seja necessária a apresentação de garantias, elas estão previstas no   Edital</w:t>
            </w:r>
          </w:p>
          <w:p>
            <w:pPr>
              <w:pStyle w:val="TableParagraph"/>
              <w:spacing w:before="46"/>
              <w:rPr>
                <w:sz w:val="18"/>
              </w:rPr>
            </w:pPr>
            <w:r>
              <w:rPr>
                <w:sz w:val="18"/>
              </w:rPr>
              <w:t>(art. 56 da Lei 8666/93)?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</w:tbl>
    <w:p>
      <w:pPr>
        <w:spacing w:line="240" w:lineRule="auto" w:before="3"/>
        <w:rPr>
          <w:b/>
          <w:sz w:val="27"/>
        </w:rPr>
      </w:pPr>
    </w:p>
    <w:p>
      <w:pPr>
        <w:tabs>
          <w:tab w:pos="6060" w:val="left" w:leader="none"/>
          <w:tab w:pos="6384" w:val="left" w:leader="none"/>
        </w:tabs>
        <w:spacing w:line="291" w:lineRule="exact" w:before="0"/>
        <w:ind w:left="962" w:right="1371" w:firstLine="0"/>
        <w:jc w:val="left"/>
        <w:rPr>
          <w:sz w:val="18"/>
        </w:rPr>
      </w:pPr>
      <w:r>
        <w:rPr>
          <w:b/>
          <w:sz w:val="18"/>
        </w:rPr>
        <w:t>Servidor</w:t>
      </w:r>
      <w:r>
        <w:rPr>
          <w:sz w:val="18"/>
        </w:rPr>
        <w:t>:</w:t>
      </w:r>
      <w:r>
        <w:rPr>
          <w:sz w:val="18"/>
          <w:u w:val="single"/>
        </w:rPr>
        <w:t> </w:t>
        <w:tab/>
      </w:r>
      <w:r>
        <w:rPr>
          <w:sz w:val="18"/>
        </w:rPr>
        <w:tab/>
        <w:t>(Rubrica e matrícula ou</w:t>
      </w:r>
      <w:r>
        <w:rPr>
          <w:spacing w:val="-11"/>
          <w:sz w:val="18"/>
        </w:rPr>
        <w:t> </w:t>
      </w:r>
      <w:r>
        <w:rPr>
          <w:sz w:val="18"/>
        </w:rPr>
        <w:t>carimbo)</w:t>
      </w:r>
    </w:p>
    <w:sectPr>
      <w:pgSz w:w="11910" w:h="16840"/>
      <w:pgMar w:top="1400" w:bottom="280" w:left="74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algun Gothic">
    <w:altName w:val="Malgun Gothic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lowerLetter"/>
      <w:lvlText w:val="(%1)"/>
      <w:lvlJc w:val="left"/>
      <w:pPr>
        <w:ind w:left="511" w:hanging="409"/>
        <w:jc w:val="left"/>
      </w:pPr>
      <w:rPr>
        <w:rFonts w:hint="default" w:ascii="Malgun Gothic" w:hAnsi="Malgun Gothic" w:eastAsia="Malgun Gothic" w:cs="Malgun Gothic"/>
        <w:spacing w:val="-2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1186" w:hanging="4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52" w:hanging="4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18" w:hanging="4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85" w:hanging="4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1" w:hanging="4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17" w:hanging="4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83" w:hanging="4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850" w:hanging="40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algun Gothic" w:hAnsi="Malgun Gothic" w:eastAsia="Malgun Gothic" w:cs="Malgun Gothic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ind w:left="103" w:right="96"/>
    </w:pPr>
    <w:rPr>
      <w:rFonts w:ascii="Malgun Gothic" w:hAnsi="Malgun Gothic" w:eastAsia="Malgun Gothic" w:cs="Malgun Gothic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ifpb</dc:creator>
  <dcterms:created xsi:type="dcterms:W3CDTF">2016-12-26T20:59:38Z</dcterms:created>
  <dcterms:modified xsi:type="dcterms:W3CDTF">2016-12-26T20:59:38Z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2015-08-02T00:00:00Z</vt:filetime>
  </property>
  <property fmtid="{D5CDD505-2E9C-101B-9397-08002B2CF9AE}" pid="3" name="Creator">
    <vt:lpwstr>Microsoft® Word Starter 2010</vt:lpwstr>
  </property>
  <property fmtid="{D5CDD505-2E9C-101B-9397-08002B2CF9AE}" pid="4" name="LastSaved">
    <vt:filetime>2016-12-26T00:00:00Z</vt:filetime>
  </property>
</Properties>
</file>